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沈阳市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特困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人员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分散供养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照料服务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协议</w:t>
      </w: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i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分散供养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照料服务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协议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乡镇（街道）：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</w:rPr>
        <w:t>（以下简称甲方）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照料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机构或提供服务的个人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 w:hAnsiTheme="majorEastAsia"/>
          <w:sz w:val="32"/>
          <w:szCs w:val="32"/>
        </w:rPr>
        <w:t>（以下简称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乙</w:t>
      </w:r>
      <w:r>
        <w:rPr>
          <w:rFonts w:hint="eastAsia" w:ascii="仿宋_GB2312" w:eastAsia="仿宋_GB2312" w:hAnsiTheme="majorEastAsia"/>
          <w:sz w:val="32"/>
          <w:szCs w:val="32"/>
        </w:rPr>
        <w:t>方）</w:t>
      </w:r>
    </w:p>
    <w:p>
      <w:pPr>
        <w:spacing w:line="576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特困人员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 w:hAnsiTheme="majorEastAsia"/>
          <w:sz w:val="32"/>
          <w:szCs w:val="32"/>
        </w:rPr>
        <w:t>（以下简称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丙</w:t>
      </w:r>
      <w:r>
        <w:rPr>
          <w:rFonts w:hint="eastAsia" w:ascii="仿宋_GB2312" w:eastAsia="仿宋_GB2312" w:hAnsiTheme="majorEastAsia"/>
          <w:sz w:val="32"/>
          <w:szCs w:val="32"/>
        </w:rPr>
        <w:t>方）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>（以下简称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丁</w:t>
      </w:r>
      <w:r>
        <w:rPr>
          <w:rFonts w:hint="eastAsia" w:ascii="仿宋_GB2312" w:eastAsia="仿宋_GB2312" w:hAnsiTheme="majorEastAsia"/>
          <w:sz w:val="32"/>
          <w:szCs w:val="32"/>
        </w:rPr>
        <w:t>方）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现行规定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，为认真做好特困人员照料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工作，经甲、乙、丙、丁四方协商一致，达成如下协议：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甲方委托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乙方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pacing w:val="-6"/>
          <w:sz w:val="32"/>
          <w:szCs w:val="32"/>
          <w:lang w:val="en" w:eastAsia="zh-CN"/>
        </w:rPr>
        <w:t>（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性别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，身份证号（信用代码）：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，开户银行及账户：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，地址：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，联系电话：</w:t>
      </w:r>
      <w:r>
        <w:rPr>
          <w:rFonts w:hint="eastAsia" w:ascii="仿宋" w:hAnsi="仿宋" w:eastAsia="仿宋" w:cs="仿宋"/>
          <w:spacing w:val="-6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" w:hAnsi="仿宋" w:eastAsia="仿宋" w:cs="仿宋"/>
          <w:spacing w:val="-6"/>
          <w:sz w:val="32"/>
          <w:szCs w:val="32"/>
          <w:lang w:val="en" w:eastAsia="zh-CN"/>
        </w:rPr>
        <w:t>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对丙方提供日常看护、生活照料、住院陪护等服务，</w:t>
      </w:r>
      <w:r>
        <w:rPr>
          <w:rFonts w:hint="default" w:ascii="仿宋" w:hAnsi="仿宋" w:eastAsia="仿宋" w:cs="仿宋"/>
          <w:spacing w:val="-6"/>
          <w:sz w:val="32"/>
          <w:szCs w:val="32"/>
          <w:lang w:val="en" w:eastAsia="zh-CN"/>
        </w:rPr>
        <w:t>甲方协助民政部门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支付乙方照料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费用每月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根据调标情况、护理等级变动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日起向丙方提供日常照料服务，由丁方负责日常联系并监督。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一、甲方权利和责任</w:t>
      </w:r>
    </w:p>
    <w:p>
      <w:pPr>
        <w:spacing w:line="576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甲方应按照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，落实特困人员照料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相关政策。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甲方有权要求和监督乙方按照本协议提供服务。</w:t>
      </w:r>
    </w:p>
    <w:p>
      <w:pPr>
        <w:spacing w:line="576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甲方应配合县级民政部门做好丙方生活自理能力评估工作，并将评估结果及时通报乙方和丙方。</w:t>
      </w:r>
    </w:p>
    <w:p>
      <w:pPr>
        <w:spacing w:line="576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（四）甲方应协助县级民政部门，按政策规定及本协议约定，向乙方支付照料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照料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社会化发放形式按月发放至照料服务人个人账户，或承担照料服务职责的供养服务机构、社会组织账户。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甲方</w:t>
      </w:r>
      <w:r>
        <w:rPr>
          <w:rFonts w:hint="default" w:ascii="仿宋" w:hAnsi="仿宋" w:eastAsia="仿宋" w:cs="仿宋"/>
          <w:spacing w:val="-6"/>
          <w:sz w:val="32"/>
          <w:szCs w:val="32"/>
          <w:lang w:val="en" w:eastAsia="zh-CN"/>
        </w:rPr>
        <w:t>应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制定对乙方照料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情况的考核方案，定期考察乙方对协议内容的履行情况。对不按协议约定履行相关义务的，甲方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有权解除本协议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另行委托他人或村（居）民委员会、供养服务机构等继续负责提供照料服务。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（七）丙方离世后，由丙方亲属或甲方委托乙方（丁方）办理丧葬事宜，丧葬费用按照特困人员救助供养相关政策执行。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二、乙方权利和责任</w:t>
      </w:r>
    </w:p>
    <w:p>
      <w:pPr>
        <w:spacing w:line="576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（一）乙方应为完全民事行为能力人</w:t>
      </w:r>
      <w:r>
        <w:rPr>
          <w:rFonts w:hint="default" w:ascii="仿宋" w:hAnsi="仿宋" w:eastAsia="仿宋" w:cs="仿宋_GB2312"/>
          <w:sz w:val="32"/>
          <w:szCs w:val="32"/>
          <w:lang w:val="en"/>
        </w:rPr>
        <w:t>（或法人）</w:t>
      </w:r>
      <w:r>
        <w:rPr>
          <w:rFonts w:hint="eastAsia" w:ascii="仿宋" w:hAnsi="仿宋" w:eastAsia="仿宋" w:cs="仿宋_GB2312"/>
          <w:sz w:val="32"/>
          <w:szCs w:val="32"/>
        </w:rPr>
        <w:t>，具备履约能力。且无违法犯罪记录。</w:t>
      </w:r>
    </w:p>
    <w:p>
      <w:pPr>
        <w:spacing w:line="576" w:lineRule="exact"/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（二）乙方应具备为丙方提供照料服务的便利条件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做好丙方的照料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工作，并接受甲方的考核，根据考核结果按规定获取照料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费。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对于全自理人员，乙方重点协助丙方维护居所卫生、保持个人清洁、确保饮食规律。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对于半自理和全护理人员，乙方</w:t>
      </w:r>
      <w:r>
        <w:rPr>
          <w:rFonts w:hint="eastAsia" w:ascii="仿宋_GB2312" w:hAnsi="宋体" w:eastAsia="仿宋_GB2312"/>
          <w:sz w:val="32"/>
          <w:szCs w:val="32"/>
        </w:rPr>
        <w:t>主动关心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丙方</w:t>
      </w:r>
      <w:r>
        <w:rPr>
          <w:rFonts w:hint="eastAsia" w:ascii="仿宋_GB2312" w:hAnsi="宋体" w:eastAsia="仿宋_GB2312"/>
          <w:sz w:val="32"/>
          <w:szCs w:val="32"/>
        </w:rPr>
        <w:t>的需求，提供相应服务：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（1）督促和帮助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丙方</w:t>
      </w:r>
      <w:r>
        <w:rPr>
          <w:rFonts w:hint="eastAsia" w:ascii="仿宋_GB2312" w:hAnsi="宋体" w:eastAsia="仿宋_GB2312"/>
          <w:sz w:val="32"/>
          <w:szCs w:val="32"/>
        </w:rPr>
        <w:t>保持个人整洁;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（2）打扫室内外卫生；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（3）每月洗涤被罩、床单、枕套一次；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（4）代为买菜、做饭、烧水等；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（5）代为配药、买药;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（6）观察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丙方</w:t>
      </w:r>
      <w:r>
        <w:rPr>
          <w:rFonts w:hint="eastAsia" w:ascii="仿宋_GB2312" w:hAnsi="宋体" w:eastAsia="仿宋_GB2312"/>
          <w:sz w:val="32"/>
          <w:szCs w:val="32"/>
        </w:rPr>
        <w:t>身体状况，帮助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丙方</w:t>
      </w:r>
      <w:r>
        <w:rPr>
          <w:rFonts w:hint="eastAsia" w:ascii="仿宋_GB2312" w:hAnsi="宋体" w:eastAsia="仿宋_GB2312"/>
          <w:sz w:val="32"/>
          <w:szCs w:val="32"/>
        </w:rPr>
        <w:t>及时就医；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（7）陪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丙方</w:t>
      </w:r>
      <w:r>
        <w:rPr>
          <w:rFonts w:hint="eastAsia" w:ascii="仿宋_GB2312" w:hAnsi="宋体" w:eastAsia="仿宋_GB2312"/>
          <w:sz w:val="32"/>
          <w:szCs w:val="32"/>
        </w:rPr>
        <w:t>聊天，提供心理慰藉；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（8）按照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丙方</w:t>
      </w:r>
      <w:r>
        <w:rPr>
          <w:rFonts w:hint="eastAsia" w:ascii="仿宋_GB2312" w:hAnsi="宋体" w:eastAsia="仿宋_GB2312"/>
          <w:sz w:val="32"/>
          <w:szCs w:val="32"/>
        </w:rPr>
        <w:t>需求，提供其他合理服务。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丙方需要就诊或住院的，乙方要及时报告甲方或者通过丁方及时向甲方报告，协助将其送到定点医疗机构就医，并提供必要的看护服务。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（六）乙方应做好服务记录，接受甲方、丁方和有关上级部门的监督、指导，提高照料服务质量。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（七）乙方应考虑并回应丙方就照料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_GB2312"/>
          <w:sz w:val="32"/>
          <w:szCs w:val="32"/>
        </w:rPr>
        <w:t>方面提出的合理建议。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（八）乙方应密切关注丙方的思想状况和身体状况，如遇重大事情要及时向甲方、丁方报告。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乙方不得有虐待、谩骂、殴打丙方等暴力行为的发生。一经发现，甲、丙、丁三方可随时终止协议，构成犯罪的，依法追究刑事责任。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）丙方若无正当理由不配合服务或影响他人正常生活行为的，乙方有权对其劝诫教育，若经三次劝诫仍未改正或因此造成不良后果的，乙方有权向甲方和丁方报告，协商处理意见。</w:t>
      </w:r>
    </w:p>
    <w:p>
      <w:pPr>
        <w:spacing w:line="576" w:lineRule="exact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</w:rPr>
        <w:t xml:space="preserve">）若因乙方过错造成丙方人身或财产损失的，乙方应负赔偿责任。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（十二）丙方病情危重或去世后，乙方及时通知甲方和丁方，安葬事宜由甲方负责协调，乙方和丁方协助处理。</w:t>
      </w:r>
    </w:p>
    <w:p>
      <w:pPr>
        <w:spacing w:line="576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）乙方如欲解除服务协议，需提前</w:t>
      </w:r>
      <w:r>
        <w:rPr>
          <w:rFonts w:hint="eastAsia" w:ascii="仿宋" w:hAnsi="仿宋" w:eastAsia="仿宋" w:cs="Arial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天征求甲方意见，取得甲方书面同意后，通知丙、丁方，不得擅自终止服务，否则将追究其违约责任。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三、丙方权利和责任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的照料护理标准根据特困人员生活自理状况（照料护理档次）评估表确定，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有权按照政策规定及本协议约定，享受特困人员照料服务。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（二）丙方应自觉遵守关于特困人员救助供养政策的相关规定，配合乙方开展照料服务。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（三）丙方有权向乙方提出与服务内容相关的合理需求和建议。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（四）丙方应注意健康和人身安全，遇事及时向甲、乙、丁方报告。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四、丁方权利和责任</w:t>
      </w:r>
    </w:p>
    <w:p>
      <w:pPr>
        <w:spacing w:line="576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（一）丁方应监督</w:t>
      </w:r>
      <w:r>
        <w:rPr>
          <w:rFonts w:hint="eastAsia" w:ascii="仿宋_GB2312" w:hAnsi="仿宋_GB2312" w:cs="仿宋_GB2312"/>
          <w:sz w:val="32"/>
          <w:szCs w:val="32"/>
        </w:rPr>
        <w:t>乙方、</w:t>
      </w:r>
      <w:r>
        <w:rPr>
          <w:rFonts w:hint="eastAsia" w:ascii="仿宋_GB2312" w:hAnsi="仿宋_GB2312" w:eastAsia="仿宋_GB2312" w:cs="仿宋_GB2312"/>
          <w:sz w:val="32"/>
          <w:szCs w:val="32"/>
        </w:rPr>
        <w:t>丙方履行本协议，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（二）丁方应每周现场查访，通过询问了解、查阅记录，掌握照料服务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，配合甲方做好对乙方的考核工作。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（三）丁方在监督照料过程中发现存在问题，应提出纠正意见，若无法解决的，应及时向甲方报告。</w:t>
      </w:r>
    </w:p>
    <w:p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（四）协调办理丙方离世后的丧葬事宜。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五、其他需要补充的事项：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576" w:lineRule="exact"/>
        <w:ind w:firstLine="640" w:firstLineChars="20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、协议的生效和终止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（一）本协议自各方签字盖章后生效，因履行本协议产生的争议，各方向甲方所在地人民法院提起诉讼。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（二）协议解除或者特困人员死亡则本协议自动终止。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本协议一式四份，甲、乙、丙、丁方各执一份，具有同等效力，未尽事项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各方本着公平、公正，最大范围内保障丙方利益的原则，友好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协商解决。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  方（盖章）：             乙  方（盖章）：                              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  负责人（签字）：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联系方式：                   联系方式：       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                       年  月  日</w:t>
      </w:r>
    </w:p>
    <w:p>
      <w:pPr>
        <w:spacing w:line="576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丙  方（签字并按手印）：      丁 方（盖章）：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联系方式：                    负责人(签字)：  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                联系方式：</w:t>
      </w:r>
    </w:p>
    <w:p>
      <w:pPr>
        <w:spacing w:line="576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idowControl/>
        <w:ind w:firstLine="0" w:firstLineChars="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楷体" w:hAnsi="楷体" w:eastAsia="楷体" w:cs="宋体"/>
          <w:kern w:val="0"/>
          <w:sz w:val="32"/>
          <w:szCs w:val="32"/>
        </w:rPr>
        <w:t>(注:丙方具备完全民事行为能力的由本人签字并按手印，丙方属于限制民事行为能力人或无民事行为能力人的，由丙方委托代理人代签。)</w:t>
      </w:r>
    </w:p>
    <w:p>
      <w:pPr>
        <w:widowControl/>
        <w:ind w:firstLine="0"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丙方委托代理人</w:t>
      </w:r>
      <w:r>
        <w:rPr>
          <w:rFonts w:hint="eastAsia" w:ascii="仿宋" w:hAnsi="仿宋" w:eastAsia="仿宋" w:cs="宋体"/>
          <w:kern w:val="0"/>
          <w:sz w:val="32"/>
          <w:szCs w:val="32"/>
        </w:rPr>
        <w:t>（签字并按手印）</w:t>
      </w:r>
      <w:r>
        <w:rPr>
          <w:rFonts w:ascii="仿宋" w:hAnsi="仿宋" w:eastAsia="仿宋" w:cs="宋体"/>
          <w:kern w:val="0"/>
          <w:sz w:val="32"/>
          <w:szCs w:val="32"/>
        </w:rPr>
        <w:t>: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WM2ZDMxYzljYzg1OWUzZTg3OWYyMDA5MzExODQifQ=="/>
  </w:docVars>
  <w:rsids>
    <w:rsidRoot w:val="000E3641"/>
    <w:rsid w:val="00003A68"/>
    <w:rsid w:val="00053D28"/>
    <w:rsid w:val="00075789"/>
    <w:rsid w:val="000D7E9C"/>
    <w:rsid w:val="000E3641"/>
    <w:rsid w:val="001014BA"/>
    <w:rsid w:val="0012389A"/>
    <w:rsid w:val="00150FBD"/>
    <w:rsid w:val="001C69F9"/>
    <w:rsid w:val="001D3749"/>
    <w:rsid w:val="00252B79"/>
    <w:rsid w:val="002B030D"/>
    <w:rsid w:val="002E6CCE"/>
    <w:rsid w:val="002F3FE9"/>
    <w:rsid w:val="00322439"/>
    <w:rsid w:val="00492554"/>
    <w:rsid w:val="005C189A"/>
    <w:rsid w:val="006130D4"/>
    <w:rsid w:val="0064693C"/>
    <w:rsid w:val="006A4AD9"/>
    <w:rsid w:val="006A615E"/>
    <w:rsid w:val="00721AAD"/>
    <w:rsid w:val="0072678F"/>
    <w:rsid w:val="00727FD4"/>
    <w:rsid w:val="00731AE7"/>
    <w:rsid w:val="007B733E"/>
    <w:rsid w:val="00813497"/>
    <w:rsid w:val="0087540B"/>
    <w:rsid w:val="008856B3"/>
    <w:rsid w:val="008C0064"/>
    <w:rsid w:val="00922A59"/>
    <w:rsid w:val="009A2DD6"/>
    <w:rsid w:val="009D2CEC"/>
    <w:rsid w:val="00A21F1F"/>
    <w:rsid w:val="00C24AFB"/>
    <w:rsid w:val="00C57925"/>
    <w:rsid w:val="00C73818"/>
    <w:rsid w:val="00C81363"/>
    <w:rsid w:val="00C86A69"/>
    <w:rsid w:val="00D55A8D"/>
    <w:rsid w:val="00D833E6"/>
    <w:rsid w:val="00DB27C0"/>
    <w:rsid w:val="00DF0E57"/>
    <w:rsid w:val="00DF3F86"/>
    <w:rsid w:val="00EF5277"/>
    <w:rsid w:val="00F018CB"/>
    <w:rsid w:val="00F03990"/>
    <w:rsid w:val="00F52AF5"/>
    <w:rsid w:val="00FB7306"/>
    <w:rsid w:val="00FF147F"/>
    <w:rsid w:val="1FB95DC1"/>
    <w:rsid w:val="3EB45F97"/>
    <w:rsid w:val="3F281295"/>
    <w:rsid w:val="4FBE2785"/>
    <w:rsid w:val="4FFF87B3"/>
    <w:rsid w:val="53F1F3EC"/>
    <w:rsid w:val="59F63B08"/>
    <w:rsid w:val="5CA44A2D"/>
    <w:rsid w:val="5F1F6F2B"/>
    <w:rsid w:val="5FD784B9"/>
    <w:rsid w:val="5FF70D42"/>
    <w:rsid w:val="63FD45B6"/>
    <w:rsid w:val="667837C1"/>
    <w:rsid w:val="69FF9E84"/>
    <w:rsid w:val="6B5B2194"/>
    <w:rsid w:val="6F371576"/>
    <w:rsid w:val="6FFA1474"/>
    <w:rsid w:val="77432D53"/>
    <w:rsid w:val="7B7F3D2E"/>
    <w:rsid w:val="7BFEC623"/>
    <w:rsid w:val="7DFE40F2"/>
    <w:rsid w:val="7E7B931C"/>
    <w:rsid w:val="7EFFA30C"/>
    <w:rsid w:val="7F7E1C21"/>
    <w:rsid w:val="7FAE57AA"/>
    <w:rsid w:val="7FFFE43E"/>
    <w:rsid w:val="85FEA793"/>
    <w:rsid w:val="8BFC1731"/>
    <w:rsid w:val="8DF511CC"/>
    <w:rsid w:val="B7F617CB"/>
    <w:rsid w:val="B9BBA57B"/>
    <w:rsid w:val="BA7B23C6"/>
    <w:rsid w:val="BFE1F6CA"/>
    <w:rsid w:val="C5FF011F"/>
    <w:rsid w:val="D77F6FD7"/>
    <w:rsid w:val="D7FCFD96"/>
    <w:rsid w:val="DFF34EF0"/>
    <w:rsid w:val="DFFF3BD2"/>
    <w:rsid w:val="EABBB138"/>
    <w:rsid w:val="EBE9FF85"/>
    <w:rsid w:val="EFF9A5BD"/>
    <w:rsid w:val="F2BC9EB6"/>
    <w:rsid w:val="FADE58B7"/>
    <w:rsid w:val="FCF3FDDF"/>
    <w:rsid w:val="FE3FB3CC"/>
    <w:rsid w:val="FE63251F"/>
    <w:rsid w:val="FE734873"/>
    <w:rsid w:val="FEFD5041"/>
    <w:rsid w:val="FFB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</Words>
  <Characters>1643</Characters>
  <Lines>13</Lines>
  <Paragraphs>3</Paragraphs>
  <TotalTime>19</TotalTime>
  <ScaleCrop>false</ScaleCrop>
  <LinksUpToDate>false</LinksUpToDate>
  <CharactersWithSpaces>1928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2018-03-22T18:17:00Z</dcterms:created>
  <dc:creator>张安琪</dc:creator>
  <cp:lastModifiedBy>sujingqi</cp:lastModifiedBy>
  <cp:lastPrinted>2023-07-15T02:53:00Z</cp:lastPrinted>
  <dcterms:modified xsi:type="dcterms:W3CDTF">2024-02-06T14:12:52Z</dcterms:modified>
  <dc:title>附件2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78066D567CE640109248CC7CF7290055_12</vt:lpwstr>
  </property>
</Properties>
</file>